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9365C" w:rsidRDefault="0049365C" w:rsidP="0049365C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8E311" wp14:editId="56A0BAB3">
                <wp:simplePos x="0" y="0"/>
                <wp:positionH relativeFrom="column">
                  <wp:posOffset>444500</wp:posOffset>
                </wp:positionH>
                <wp:positionV relativeFrom="paragraph">
                  <wp:posOffset>-63831</wp:posOffset>
                </wp:positionV>
                <wp:extent cx="4763000" cy="506925"/>
                <wp:effectExtent l="0" t="0" r="19050" b="26670"/>
                <wp:wrapNone/>
                <wp:docPr id="6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000" cy="506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65C" w:rsidRDefault="0049365C" w:rsidP="0049365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Politisches Forum "Mehr Mut zur Tat"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4516" tIns="52258" rIns="104516" bIns="52258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6" style="position:absolute;margin-left:35pt;margin-top:-5.05pt;width:375.05pt;height:3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" fillcolor="#dbe5f1 [660]" strokecolor="black [3200]" strokeweight="1pt">
                <v:textbox inset="2.90322mm,1.45161mm,2.90322mm,1.45161mm">
                  <w:txbxContent>
                    <w:p w:rsidR="0049365C" w:rsidRDefault="0049365C" w:rsidP="0049365C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Politisches Forum "Mehr Mut zur Tat"</w:t>
                      </w:r>
                    </w:p>
                  </w:txbxContent>
                </v:textbox>
              </v:rect>
            </w:pict>
          </mc:Fallback>
        </mc:AlternateContent>
      </w:r>
    </w:p>
    <w:p w:rsidR="0049365C" w:rsidRDefault="0049365C" w:rsidP="0049365C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</w:pPr>
    </w:p>
    <w:p w:rsidR="0049365C" w:rsidRDefault="0049365C" w:rsidP="0049365C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</w:pPr>
    </w:p>
    <w:p w:rsidR="00F32F26" w:rsidRDefault="00F32F26" w:rsidP="0049365C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  <w:rPr>
          <w:b/>
        </w:rPr>
      </w:pPr>
    </w:p>
    <w:p w:rsidR="00F32F26" w:rsidRDefault="00F32F26" w:rsidP="0049365C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  <w:rPr>
          <w:b/>
        </w:rPr>
      </w:pPr>
    </w:p>
    <w:p w:rsidR="0049365C" w:rsidRPr="0049365C" w:rsidRDefault="0049365C" w:rsidP="0049365C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  <w:rPr>
          <w:b/>
        </w:rPr>
      </w:pPr>
      <w:r w:rsidRPr="0049365C">
        <w:rPr>
          <w:b/>
        </w:rPr>
        <w:t>Bildungsrepublik Deutschland  –  Vom Reden zum Handeln</w:t>
      </w:r>
      <w:r w:rsidR="00427A7F">
        <w:rPr>
          <w:b/>
        </w:rPr>
        <w:t xml:space="preserve">                      20. September 2018</w:t>
      </w:r>
    </w:p>
    <w:p w:rsidR="0049365C" w:rsidRDefault="0049365C" w:rsidP="0049365C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</w:pPr>
    </w:p>
    <w:p w:rsidR="00427A7F" w:rsidRDefault="00427A7F" w:rsidP="0049365C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</w:pPr>
    </w:p>
    <w:p w:rsidR="0049365C" w:rsidRPr="0049365C" w:rsidRDefault="0049365C" w:rsidP="0049365C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  <w:rPr>
          <w:u w:val="single"/>
        </w:rPr>
      </w:pPr>
      <w:r w:rsidRPr="0049365C">
        <w:rPr>
          <w:u w:val="single"/>
        </w:rPr>
        <w:t>Thesen</w:t>
      </w:r>
      <w:r w:rsidRPr="00000C9A">
        <w:t xml:space="preserve"> </w:t>
      </w:r>
      <w:r w:rsidR="00000C9A" w:rsidRPr="00000C9A">
        <w:t>(ergänzt nach dem Treffen des Forums)</w:t>
      </w:r>
    </w:p>
    <w:p w:rsidR="0049365C" w:rsidRDefault="0049365C" w:rsidP="0049365C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0" w:firstLine="0"/>
      </w:pPr>
    </w:p>
    <w:p w:rsidR="0049365C" w:rsidRDefault="0049365C" w:rsidP="00610F2E">
      <w:pPr>
        <w:pStyle w:val="Listenabsatz"/>
        <w:numPr>
          <w:ilvl w:val="0"/>
          <w:numId w:val="1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284" w:hanging="284"/>
        <w:jc w:val="both"/>
      </w:pPr>
      <w:r>
        <w:t>Deutschland ist ein Land ohne Rohstoffe. Unser wirtschaftlicher Erfolg hängt von gut ausgebildeten Fachkräften ab.</w:t>
      </w:r>
    </w:p>
    <w:p w:rsidR="0049365C" w:rsidRDefault="0049365C" w:rsidP="00610F2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284" w:hanging="284"/>
        <w:jc w:val="both"/>
      </w:pPr>
    </w:p>
    <w:p w:rsidR="0049365C" w:rsidRDefault="0049365C" w:rsidP="00610F2E">
      <w:pPr>
        <w:pStyle w:val="Listenabsatz"/>
        <w:numPr>
          <w:ilvl w:val="0"/>
          <w:numId w:val="1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284" w:hanging="284"/>
        <w:jc w:val="both"/>
      </w:pPr>
      <w:r>
        <w:t>Dazu muss Deutschland mehr in Bildung investieren – statt 4,2% des BIP mindestens 5% – und</w:t>
      </w:r>
      <w:r w:rsidRPr="00F32F26">
        <w:rPr>
          <w:sz w:val="20"/>
          <w:szCs w:val="20"/>
        </w:rPr>
        <w:t xml:space="preserve"> </w:t>
      </w:r>
      <w:r>
        <w:t>damit</w:t>
      </w:r>
      <w:r w:rsidRPr="00F32F26">
        <w:rPr>
          <w:sz w:val="20"/>
          <w:szCs w:val="20"/>
        </w:rPr>
        <w:t xml:space="preserve"> </w:t>
      </w:r>
      <w:r>
        <w:t>den</w:t>
      </w:r>
      <w:r w:rsidRPr="00F32F26">
        <w:rPr>
          <w:sz w:val="20"/>
          <w:szCs w:val="20"/>
        </w:rPr>
        <w:t xml:space="preserve"> </w:t>
      </w:r>
      <w:r>
        <w:t>EU-Durchschnitt</w:t>
      </w:r>
      <w:r w:rsidRPr="00F32F26">
        <w:rPr>
          <w:sz w:val="20"/>
          <w:szCs w:val="20"/>
        </w:rPr>
        <w:t xml:space="preserve"> </w:t>
      </w:r>
      <w:r>
        <w:t>erreichen.</w:t>
      </w:r>
      <w:r w:rsidRPr="00F32F26">
        <w:rPr>
          <w:sz w:val="20"/>
          <w:szCs w:val="20"/>
        </w:rPr>
        <w:t xml:space="preserve"> </w:t>
      </w:r>
      <w:r>
        <w:t>Diesem Ziel der "</w:t>
      </w:r>
      <w:r w:rsidRPr="0049365C">
        <w:t>Bildungsrepublik Deutsch</w:t>
      </w:r>
      <w:r w:rsidR="00F32F26">
        <w:t>l</w:t>
      </w:r>
      <w:r w:rsidRPr="0049365C">
        <w:t>and</w:t>
      </w:r>
      <w:r>
        <w:t xml:space="preserve">" </w:t>
      </w:r>
      <w:r w:rsidR="00F32F26">
        <w:t xml:space="preserve">aus </w:t>
      </w:r>
      <w:r>
        <w:t>2008</w:t>
      </w:r>
      <w:r w:rsidRPr="0049365C">
        <w:t xml:space="preserve"> </w:t>
      </w:r>
      <w:r w:rsidR="00F32F26">
        <w:t>müssen endlich T</w:t>
      </w:r>
      <w:r>
        <w:t>aten folgen.</w:t>
      </w:r>
      <w:r w:rsidRPr="0049365C">
        <w:t xml:space="preserve"> </w:t>
      </w:r>
      <w:r w:rsidR="005B662D">
        <w:t>Ausgaben für Bildung sind Investitionen in unsere Zukunft; daher sollen Ausgaben für Bildung Vorrang haben vor konsumtiven Ausgaben insbesondere in den Sozialsystemen.</w:t>
      </w:r>
      <w:r w:rsidR="00DB45D6">
        <w:t xml:space="preserve"> Neben einer besseren finanziellen Ausstattung des Bildungswesens kommt es auf einen höheren Wirkungsgrad (welche Ergebnisse werden erreicht) an.</w:t>
      </w:r>
    </w:p>
    <w:p w:rsidR="0049365C" w:rsidRDefault="0049365C" w:rsidP="00610F2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284" w:hanging="284"/>
        <w:jc w:val="both"/>
      </w:pPr>
    </w:p>
    <w:p w:rsidR="0049365C" w:rsidRDefault="0049365C" w:rsidP="00610F2E">
      <w:pPr>
        <w:pStyle w:val="Listenabsatz"/>
        <w:numPr>
          <w:ilvl w:val="0"/>
          <w:numId w:val="1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284" w:hanging="284"/>
        <w:jc w:val="both"/>
      </w:pPr>
      <w:r>
        <w:t xml:space="preserve">Die </w:t>
      </w:r>
      <w:r w:rsidR="00B1606D">
        <w:t>immer krasser werdende</w:t>
      </w:r>
      <w:r>
        <w:t xml:space="preserve"> Focussierung auf Abitur und Studium hat den Stellenwert der dualen Ausbildung verringert, so dass immer mehr Ausbildung</w:t>
      </w:r>
      <w:r w:rsidR="00154CA0">
        <w:t>s</w:t>
      </w:r>
      <w:r>
        <w:t>plätze nicht besetzt werden</w:t>
      </w:r>
      <w:r w:rsidRPr="00F32F26">
        <w:rPr>
          <w:sz w:val="20"/>
          <w:szCs w:val="20"/>
        </w:rPr>
        <w:t xml:space="preserve"> </w:t>
      </w:r>
      <w:r>
        <w:t>können.</w:t>
      </w:r>
      <w:r w:rsidRPr="00F32F26">
        <w:rPr>
          <w:sz w:val="20"/>
          <w:szCs w:val="20"/>
        </w:rPr>
        <w:t xml:space="preserve"> </w:t>
      </w:r>
      <w:r w:rsidR="00B1606D">
        <w:t>Die</w:t>
      </w:r>
      <w:r w:rsidR="00B1606D" w:rsidRPr="00F32F26">
        <w:rPr>
          <w:sz w:val="20"/>
          <w:szCs w:val="20"/>
        </w:rPr>
        <w:t xml:space="preserve"> </w:t>
      </w:r>
      <w:r w:rsidR="00B1606D">
        <w:t>Attraktivität</w:t>
      </w:r>
      <w:r w:rsidR="00B1606D" w:rsidRPr="00F32F26">
        <w:rPr>
          <w:sz w:val="20"/>
          <w:szCs w:val="20"/>
        </w:rPr>
        <w:t xml:space="preserve"> </w:t>
      </w:r>
      <w:r w:rsidR="00B1606D">
        <w:t>von</w:t>
      </w:r>
      <w:r w:rsidR="00B1606D" w:rsidRPr="00F32F26">
        <w:rPr>
          <w:sz w:val="20"/>
          <w:szCs w:val="20"/>
        </w:rPr>
        <w:t xml:space="preserve"> </w:t>
      </w:r>
      <w:r w:rsidR="00B1606D">
        <w:t>Haupt-</w:t>
      </w:r>
      <w:r w:rsidR="00B1606D" w:rsidRPr="00F32F26">
        <w:rPr>
          <w:sz w:val="20"/>
          <w:szCs w:val="20"/>
        </w:rPr>
        <w:t xml:space="preserve"> </w:t>
      </w:r>
      <w:r w:rsidR="00B1606D">
        <w:t>und</w:t>
      </w:r>
      <w:r w:rsidR="00B1606D" w:rsidRPr="00F32F26">
        <w:rPr>
          <w:sz w:val="20"/>
          <w:szCs w:val="20"/>
        </w:rPr>
        <w:t xml:space="preserve"> </w:t>
      </w:r>
      <w:r w:rsidR="00B1606D">
        <w:t>Realschulen</w:t>
      </w:r>
      <w:r w:rsidR="00B1606D" w:rsidRPr="00F32F26">
        <w:rPr>
          <w:sz w:val="20"/>
          <w:szCs w:val="20"/>
        </w:rPr>
        <w:t xml:space="preserve"> </w:t>
      </w:r>
      <w:r w:rsidR="00B1606D">
        <w:t xml:space="preserve">und </w:t>
      </w:r>
      <w:r w:rsidR="00F32F26">
        <w:t xml:space="preserve">der </w:t>
      </w:r>
      <w:r w:rsidR="00B1606D">
        <w:t>dualen Ausbildungs</w:t>
      </w:r>
      <w:r w:rsidR="00F32F26">
        <w:softHyphen/>
      </w:r>
      <w:r w:rsidR="00F32F26">
        <w:softHyphen/>
      </w:r>
      <w:r w:rsidR="00B1606D">
        <w:t xml:space="preserve">gänge muss erhöht werden. </w:t>
      </w:r>
      <w:r w:rsidR="00F32F26">
        <w:t>Eine noch bessere Zusammenarbeit von Schulen und Betrieben ist sinnvoll.</w:t>
      </w:r>
    </w:p>
    <w:p w:rsidR="0049365C" w:rsidRDefault="0049365C" w:rsidP="00610F2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284" w:hanging="284"/>
        <w:jc w:val="both"/>
      </w:pPr>
    </w:p>
    <w:p w:rsidR="0049365C" w:rsidRDefault="00B1606D" w:rsidP="00610F2E">
      <w:pPr>
        <w:pStyle w:val="Listenabsatz"/>
        <w:numPr>
          <w:ilvl w:val="0"/>
          <w:numId w:val="1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284" w:hanging="284"/>
        <w:jc w:val="both"/>
      </w:pPr>
      <w:r>
        <w:t>Nach wie vor soll m</w:t>
      </w:r>
      <w:r w:rsidR="0049365C">
        <w:t xml:space="preserve">öglichst vielen </w:t>
      </w:r>
      <w:r>
        <w:t xml:space="preserve">Kindern </w:t>
      </w:r>
      <w:r w:rsidR="0049365C">
        <w:t>de</w:t>
      </w:r>
      <w:r>
        <w:t>r</w:t>
      </w:r>
      <w:r w:rsidR="0049365C">
        <w:t xml:space="preserve"> Weg zu "höherer" Bildung </w:t>
      </w:r>
      <w:r>
        <w:t xml:space="preserve">offenstehen. </w:t>
      </w:r>
      <w:r w:rsidR="00F32F26">
        <w:t>Aber n</w:t>
      </w:r>
      <w:r>
        <w:t xml:space="preserve">icht </w:t>
      </w:r>
      <w:r w:rsidR="0049365C">
        <w:t xml:space="preserve">"Quantität statt Qualität" </w:t>
      </w:r>
      <w:r>
        <w:t xml:space="preserve">mit faktisch abgesenkten </w:t>
      </w:r>
      <w:r w:rsidR="00160502">
        <w:t>Anforderungen</w:t>
      </w:r>
      <w:r>
        <w:t xml:space="preserve"> und inflationierten</w:t>
      </w:r>
      <w:r w:rsidR="0049365C">
        <w:t xml:space="preserve"> </w:t>
      </w:r>
      <w:r>
        <w:t>Abitur</w:t>
      </w:r>
      <w:r w:rsidR="00160502">
        <w:softHyphen/>
      </w:r>
      <w:r>
        <w:t>noten ist dafür die Lösung, sondern Festlegung und Durchsetzung von nach Bildungs</w:t>
      </w:r>
      <w:r w:rsidR="00160502">
        <w:softHyphen/>
      </w:r>
      <w:r>
        <w:t>gängen differenzierten Leistungsanforderungen</w:t>
      </w:r>
      <w:r w:rsidR="005B662D">
        <w:t>, unabhängig davon, ob das Schulsystem traditionell gegliedert bleibt oder stärker vereinheitlicht wird</w:t>
      </w:r>
      <w:r>
        <w:t xml:space="preserve">. </w:t>
      </w:r>
      <w:r w:rsidR="005B662D">
        <w:t xml:space="preserve">Es muss wieder verbindliche Empfehlungen der Grundschulen </w:t>
      </w:r>
      <w:r w:rsidR="008167D6">
        <w:t>f</w:t>
      </w:r>
      <w:r w:rsidR="005B662D">
        <w:t>ür die geeignete weiterführende Schul</w:t>
      </w:r>
      <w:r w:rsidR="008167D6">
        <w:t>e</w:t>
      </w:r>
      <w:r w:rsidR="005B662D">
        <w:t xml:space="preserve"> geben; sind die Eltern damit nicht einverstanden, muss </w:t>
      </w:r>
      <w:r w:rsidR="00000C9A">
        <w:t>auf Grundlage eines Tests entschieden werden</w:t>
      </w:r>
      <w:r w:rsidR="005B662D">
        <w:t xml:space="preserve">. </w:t>
      </w:r>
      <w:r w:rsidR="00000C9A">
        <w:t>I</w:t>
      </w:r>
      <w:r>
        <w:t xml:space="preserve">ndividuelle Förderung von Schülern mit Potential </w:t>
      </w:r>
      <w:r w:rsidR="00000C9A">
        <w:t xml:space="preserve"> und </w:t>
      </w:r>
      <w:r>
        <w:t>Durchlässig</w:t>
      </w:r>
      <w:r w:rsidR="00000C9A">
        <w:softHyphen/>
      </w:r>
      <w:r>
        <w:t>keit der Bildungsgänge für "Spätstarter"</w:t>
      </w:r>
      <w:r w:rsidR="005B662D">
        <w:t xml:space="preserve"> </w:t>
      </w:r>
      <w:r w:rsidR="00000C9A">
        <w:t>sorgen für Chancen-Gerechtigkeit</w:t>
      </w:r>
      <w:r>
        <w:t xml:space="preserve">.   </w:t>
      </w:r>
    </w:p>
    <w:p w:rsidR="0049365C" w:rsidRDefault="0049365C" w:rsidP="00610F2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284" w:hanging="284"/>
        <w:jc w:val="both"/>
      </w:pPr>
    </w:p>
    <w:p w:rsidR="00B1606D" w:rsidRDefault="00160502" w:rsidP="00610F2E">
      <w:pPr>
        <w:pStyle w:val="Listenabsatz"/>
        <w:numPr>
          <w:ilvl w:val="0"/>
          <w:numId w:val="1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284" w:hanging="284"/>
        <w:jc w:val="both"/>
      </w:pPr>
      <w:r>
        <w:t>In K</w:t>
      </w:r>
      <w:r w:rsidR="0049365C">
        <w:t xml:space="preserve">itas, </w:t>
      </w:r>
      <w:r w:rsidR="00B1606D">
        <w:t>K</w:t>
      </w:r>
      <w:r w:rsidR="0049365C">
        <w:t xml:space="preserve">indergärten </w:t>
      </w:r>
      <w:r w:rsidR="00B1606D">
        <w:t xml:space="preserve">und </w:t>
      </w:r>
      <w:r w:rsidR="0049365C">
        <w:t xml:space="preserve">Schulen, vor allem in den Grundschulen, </w:t>
      </w:r>
      <w:r>
        <w:t xml:space="preserve">werden </w:t>
      </w:r>
      <w:r w:rsidR="0049365C">
        <w:t>zu wenig elementare Grundlagen für spätere Bildung und Ausbildung gelegt</w:t>
      </w:r>
      <w:r w:rsidR="00B1606D">
        <w:t xml:space="preserve">. Die Grundfertigkeiten Lesen, Schreiben, Rechnen </w:t>
      </w:r>
      <w:r>
        <w:t>und Lern-Disziplin müssen wieder höheren Stellenwert be</w:t>
      </w:r>
      <w:r w:rsidR="00B1606D">
        <w:t>kommen.</w:t>
      </w:r>
      <w:r w:rsidR="005B662D">
        <w:t xml:space="preserve"> Verfehlte Methoden wie "Schreiben nach Gehör" sind abzuschaffen.</w:t>
      </w:r>
    </w:p>
    <w:p w:rsidR="00B1606D" w:rsidRDefault="00B1606D" w:rsidP="00610F2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284" w:hanging="284"/>
        <w:jc w:val="both"/>
      </w:pPr>
    </w:p>
    <w:p w:rsidR="0049365C" w:rsidRDefault="00B1606D" w:rsidP="00610F2E">
      <w:pPr>
        <w:pStyle w:val="Listenabsatz"/>
        <w:numPr>
          <w:ilvl w:val="0"/>
          <w:numId w:val="1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284" w:hanging="284"/>
        <w:jc w:val="both"/>
      </w:pPr>
      <w:r>
        <w:t xml:space="preserve">Entscheidend für guten Unterricht </w:t>
      </w:r>
      <w:r w:rsidR="00F32F26">
        <w:t xml:space="preserve">und individuelle Förderung </w:t>
      </w:r>
      <w:r>
        <w:t>sind qualifizierte</w:t>
      </w:r>
      <w:r w:rsidR="0049365C">
        <w:t xml:space="preserve"> </w:t>
      </w:r>
      <w:r>
        <w:t xml:space="preserve">und begeisterte Lehrer. </w:t>
      </w:r>
      <w:r w:rsidR="00160502">
        <w:t>Die besten jungen Leute sollen den Lehrerberuf anstreben. Besoldung und gesellschaftliches Ansehen der Lehrer müssen deutlich verbessert werden.</w:t>
      </w:r>
      <w:r w:rsidR="00F32F26">
        <w:t xml:space="preserve"> </w:t>
      </w:r>
      <w:r w:rsidR="005B662D">
        <w:t xml:space="preserve">Das gilt vor allem für Grundschullehrer, die heute einen viel höheren Erziehungsauftrag haben als früher. </w:t>
      </w:r>
      <w:r w:rsidR="00F32F26">
        <w:t>"Quer</w:t>
      </w:r>
      <w:r w:rsidR="00F32F26">
        <w:softHyphen/>
        <w:t>einstiege" nicht ausreichend ausgebildeter Lehrkräfte darf es zukünftig nicht mehr geben.</w:t>
      </w:r>
    </w:p>
    <w:p w:rsidR="0049365C" w:rsidRDefault="0049365C" w:rsidP="00610F2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284" w:hanging="284"/>
        <w:jc w:val="both"/>
      </w:pPr>
    </w:p>
    <w:p w:rsidR="00160502" w:rsidRDefault="0049365C" w:rsidP="00000C9A">
      <w:pPr>
        <w:pStyle w:val="Listenabsatz"/>
        <w:numPr>
          <w:ilvl w:val="0"/>
          <w:numId w:val="1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</w:tabs>
        <w:ind w:left="284" w:hanging="284"/>
        <w:jc w:val="both"/>
      </w:pPr>
      <w:r>
        <w:t>Bildung war und bleibt zentrale Voraussetzung für beruflichen und sozialen Aufstieg</w:t>
      </w:r>
      <w:r w:rsidR="00160502">
        <w:t>; allerdings hängen die Chancen für Bildungserfolg stark von den Elternhäusern ab</w:t>
      </w:r>
      <w:r>
        <w:t xml:space="preserve">. </w:t>
      </w:r>
      <w:r w:rsidR="00160502">
        <w:t xml:space="preserve">Daher </w:t>
      </w:r>
      <w:r w:rsidR="005B662D">
        <w:t xml:space="preserve">muss an den Ethos der Eltern appelliert werden, sich um die Erziehung </w:t>
      </w:r>
      <w:r w:rsidR="00000C9A">
        <w:t>und Bildung ihrer K</w:t>
      </w:r>
      <w:r w:rsidR="00DB45D6">
        <w:t>i</w:t>
      </w:r>
      <w:r w:rsidR="00000C9A">
        <w:t>nder zu kümmern. ("</w:t>
      </w:r>
      <w:r w:rsidR="00000C9A" w:rsidRPr="00000C9A">
        <w:t>Pflege und Erziehung der Kinder sind das natürliche Recht der Eltern und die zuvörderst ihnen obliegende Pflicht</w:t>
      </w:r>
      <w:r w:rsidR="00000C9A">
        <w:t>" – Art</w:t>
      </w:r>
      <w:r w:rsidR="00000C9A" w:rsidRPr="00000C9A">
        <w:t>.</w:t>
      </w:r>
      <w:r w:rsidR="00000C9A">
        <w:t xml:space="preserve"> 6 GG)</w:t>
      </w:r>
      <w:r w:rsidR="00000C9A" w:rsidRPr="00000C9A">
        <w:t xml:space="preserve"> </w:t>
      </w:r>
      <w:r w:rsidR="00000C9A">
        <w:t xml:space="preserve"> Ergänzend </w:t>
      </w:r>
      <w:r w:rsidR="00DB45D6">
        <w:t xml:space="preserve">muss die </w:t>
      </w:r>
      <w:r w:rsidR="00160502">
        <w:t xml:space="preserve">individuelle Förderung von Kindern und Jugendlichen </w:t>
      </w:r>
      <w:r w:rsidR="00DB45D6">
        <w:t>weiter ausgebaut werden</w:t>
      </w:r>
      <w:r w:rsidR="00000C9A">
        <w:t xml:space="preserve">, sowohl in der Schule wie durch ergänzendes ehrenamtliches Engagement von Bürgern. </w:t>
      </w:r>
      <w:r w:rsidR="00160502">
        <w:t>Aber die Geförderten müssen aus der Förderung auch "etwas machen". Ohne Leistung kein Erfolg</w:t>
      </w:r>
      <w:r w:rsidR="00F32F26">
        <w:t xml:space="preserve"> und keine dauerhafte Förderung</w:t>
      </w:r>
      <w:r w:rsidR="00160502">
        <w:t xml:space="preserve"> – das muss wieder selbstverständlich werden.</w:t>
      </w:r>
    </w:p>
    <w:sectPr w:rsidR="00160502" w:rsidSect="005B662D">
      <w:pgSz w:w="11905" w:h="16837"/>
      <w:pgMar w:top="1417" w:right="1417" w:bottom="1134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E9"/>
    <w:multiLevelType w:val="hybridMultilevel"/>
    <w:tmpl w:val="99B08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28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5C"/>
    <w:rsid w:val="00000C9A"/>
    <w:rsid w:val="00121A42"/>
    <w:rsid w:val="00154CA0"/>
    <w:rsid w:val="00160502"/>
    <w:rsid w:val="002969D6"/>
    <w:rsid w:val="00427A7F"/>
    <w:rsid w:val="0049365C"/>
    <w:rsid w:val="004B3A14"/>
    <w:rsid w:val="005A1BD0"/>
    <w:rsid w:val="005B662D"/>
    <w:rsid w:val="00610F2E"/>
    <w:rsid w:val="006A65F6"/>
    <w:rsid w:val="008167D6"/>
    <w:rsid w:val="00894123"/>
    <w:rsid w:val="008969C8"/>
    <w:rsid w:val="008C324C"/>
    <w:rsid w:val="00AC3002"/>
    <w:rsid w:val="00B1606D"/>
    <w:rsid w:val="00BE2C66"/>
    <w:rsid w:val="00BF5712"/>
    <w:rsid w:val="00C057F7"/>
    <w:rsid w:val="00DB45D6"/>
    <w:rsid w:val="00F32F26"/>
    <w:rsid w:val="00F5053D"/>
    <w:rsid w:val="00FE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>
      <w:pPr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571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9365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F32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>
      <w:pPr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571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9365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</w:tabs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F32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Hans-Peter Kosmider</dc:creator>
  <cp:lastModifiedBy>Hans-Peter Kosmider</cp:lastModifiedBy>
  <cp:revision>3</cp:revision>
  <dcterms:created xsi:type="dcterms:W3CDTF">2018-10-10T13:27:00Z</dcterms:created>
  <dcterms:modified xsi:type="dcterms:W3CDTF">2018-10-10T13:28:00Z</dcterms:modified>
</cp:coreProperties>
</file>