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2CA3" w14:textId="77777777" w:rsidR="001C4F07" w:rsidRPr="001C4F07" w:rsidRDefault="001C4F07" w:rsidP="001C4F07">
      <w:pPr>
        <w:rPr>
          <w:rFonts w:ascii="Garamond" w:eastAsia="Times New Roman" w:hAnsi="Garamond"/>
          <w:b/>
          <w:bCs/>
          <w:sz w:val="44"/>
          <w:szCs w:val="44"/>
        </w:rPr>
      </w:pPr>
    </w:p>
    <w:p w14:paraId="03646B25" w14:textId="77777777" w:rsidR="001C4F07" w:rsidRPr="001C4F07" w:rsidRDefault="001C4F07" w:rsidP="001C4F07">
      <w:pPr>
        <w:rPr>
          <w:rFonts w:ascii="Garamond" w:eastAsia="Times New Roman" w:hAnsi="Garamond"/>
          <w:b/>
          <w:bCs/>
          <w:sz w:val="44"/>
          <w:szCs w:val="44"/>
        </w:rPr>
      </w:pPr>
    </w:p>
    <w:p w14:paraId="49F239FD" w14:textId="77777777" w:rsidR="001C4F07" w:rsidRDefault="001C4F07" w:rsidP="001C4F07">
      <w:pPr>
        <w:rPr>
          <w:rFonts w:ascii="Garamond" w:eastAsia="Times New Roman" w:hAnsi="Garamond"/>
          <w:b/>
          <w:bCs/>
          <w:sz w:val="44"/>
          <w:szCs w:val="44"/>
        </w:rPr>
      </w:pPr>
    </w:p>
    <w:p w14:paraId="0DE40899" w14:textId="77777777" w:rsidR="001C4F07" w:rsidRDefault="001C4F07" w:rsidP="001C4F07">
      <w:pPr>
        <w:rPr>
          <w:rFonts w:ascii="Garamond" w:eastAsia="Times New Roman" w:hAnsi="Garamond"/>
          <w:b/>
          <w:bCs/>
          <w:sz w:val="44"/>
          <w:szCs w:val="44"/>
        </w:rPr>
      </w:pPr>
    </w:p>
    <w:p w14:paraId="7C4305D3" w14:textId="77777777" w:rsidR="001C4F07" w:rsidRDefault="001C4F07" w:rsidP="001C4F07">
      <w:pPr>
        <w:rPr>
          <w:rFonts w:ascii="Garamond" w:eastAsia="Times New Roman" w:hAnsi="Garamond"/>
          <w:b/>
          <w:bCs/>
          <w:sz w:val="44"/>
          <w:szCs w:val="44"/>
        </w:rPr>
      </w:pPr>
    </w:p>
    <w:p w14:paraId="5D0228E7" w14:textId="77777777" w:rsidR="001C4F07" w:rsidRPr="001C4F07" w:rsidRDefault="001C4F07" w:rsidP="001C4F07">
      <w:pPr>
        <w:rPr>
          <w:rFonts w:ascii="Garamond" w:eastAsia="Times New Roman" w:hAnsi="Garamond"/>
          <w:b/>
          <w:bCs/>
          <w:sz w:val="44"/>
          <w:szCs w:val="44"/>
        </w:rPr>
      </w:pPr>
    </w:p>
    <w:p w14:paraId="3EE7E36D" w14:textId="3E6F2BDB" w:rsidR="001C4F07" w:rsidRPr="001C4F07" w:rsidRDefault="001C4F07" w:rsidP="001C4F07">
      <w:pPr>
        <w:rPr>
          <w:rFonts w:ascii="Garamond" w:eastAsia="Times New Roman" w:hAnsi="Garamond"/>
          <w:b/>
          <w:bCs/>
          <w:sz w:val="44"/>
          <w:szCs w:val="44"/>
        </w:rPr>
      </w:pPr>
      <w:r w:rsidRPr="001C4F07">
        <w:rPr>
          <w:rFonts w:ascii="Garamond" w:eastAsia="Times New Roman" w:hAnsi="Garamond"/>
          <w:b/>
          <w:bCs/>
          <w:sz w:val="44"/>
          <w:szCs w:val="44"/>
        </w:rPr>
        <w:t>«Spuren der Erde»</w:t>
      </w:r>
    </w:p>
    <w:p w14:paraId="3C6B5318" w14:textId="77777777" w:rsidR="001C4F07" w:rsidRPr="001C4F07" w:rsidRDefault="001C4F07" w:rsidP="001C4F07">
      <w:pPr>
        <w:rPr>
          <w:rFonts w:ascii="Garamond" w:eastAsia="Times New Roman" w:hAnsi="Garamond"/>
        </w:rPr>
      </w:pPr>
    </w:p>
    <w:p w14:paraId="7A05FAF4" w14:textId="77777777" w:rsidR="001C4F07" w:rsidRPr="001C4F07" w:rsidRDefault="001C4F07" w:rsidP="001C4F07">
      <w:pPr>
        <w:rPr>
          <w:rFonts w:ascii="Garamond" w:eastAsia="Times New Roman" w:hAnsi="Garamond"/>
        </w:rPr>
      </w:pPr>
    </w:p>
    <w:p w14:paraId="78442B3D" w14:textId="77777777" w:rsidR="001C4F07" w:rsidRPr="001C4F07" w:rsidRDefault="001C4F07" w:rsidP="001C4F07">
      <w:pPr>
        <w:rPr>
          <w:rFonts w:ascii="Garamond" w:eastAsia="Times New Roman" w:hAnsi="Garamond"/>
        </w:rPr>
      </w:pPr>
    </w:p>
    <w:p w14:paraId="0F7DF2A9" w14:textId="77777777" w:rsidR="001C4F07" w:rsidRPr="001C4F07" w:rsidRDefault="001C4F07" w:rsidP="001C4F07">
      <w:pPr>
        <w:rPr>
          <w:rFonts w:ascii="Garamond" w:eastAsia="Times New Roman" w:hAnsi="Garamond"/>
        </w:rPr>
      </w:pPr>
    </w:p>
    <w:p w14:paraId="4FAED559" w14:textId="77777777" w:rsidR="001C4F07" w:rsidRPr="001C4F07" w:rsidRDefault="001C4F07" w:rsidP="001C4F07">
      <w:pPr>
        <w:rPr>
          <w:rFonts w:ascii="Garamond" w:eastAsia="Times New Roman" w:hAnsi="Garamond"/>
        </w:rPr>
      </w:pPr>
    </w:p>
    <w:p w14:paraId="66510A3D" w14:textId="77777777" w:rsidR="001C4F07" w:rsidRPr="001C4F07" w:rsidRDefault="001C4F07" w:rsidP="001C4F07">
      <w:pPr>
        <w:rPr>
          <w:rFonts w:ascii="Garamond" w:eastAsia="Times New Roman" w:hAnsi="Garamond"/>
        </w:rPr>
      </w:pPr>
    </w:p>
    <w:p w14:paraId="59A39063" w14:textId="77777777" w:rsidR="001C4F07" w:rsidRPr="001C4F07" w:rsidRDefault="001C4F07" w:rsidP="001C4F07">
      <w:pPr>
        <w:rPr>
          <w:rFonts w:ascii="Garamond" w:eastAsia="Times New Roman" w:hAnsi="Garamond"/>
        </w:rPr>
      </w:pPr>
    </w:p>
    <w:p w14:paraId="5F6223E9" w14:textId="77777777" w:rsidR="001C4F07" w:rsidRDefault="001C4F07" w:rsidP="001C4F07">
      <w:pPr>
        <w:rPr>
          <w:rFonts w:ascii="Garamond" w:eastAsia="Times New Roman" w:hAnsi="Garamond"/>
        </w:rPr>
      </w:pPr>
    </w:p>
    <w:p w14:paraId="79155A72" w14:textId="77777777" w:rsidR="001C4F07" w:rsidRDefault="001C4F07" w:rsidP="001C4F07">
      <w:pPr>
        <w:rPr>
          <w:rFonts w:ascii="Garamond" w:eastAsia="Times New Roman" w:hAnsi="Garamond"/>
        </w:rPr>
      </w:pPr>
    </w:p>
    <w:p w14:paraId="663237E8" w14:textId="77777777" w:rsidR="001C4F07" w:rsidRDefault="001C4F07" w:rsidP="001C4F07">
      <w:pPr>
        <w:rPr>
          <w:rFonts w:ascii="Garamond" w:eastAsia="Times New Roman" w:hAnsi="Garamond"/>
        </w:rPr>
      </w:pPr>
    </w:p>
    <w:p w14:paraId="68A00BFD" w14:textId="77777777" w:rsidR="001C4F07" w:rsidRDefault="001C4F07" w:rsidP="001C4F07">
      <w:pPr>
        <w:rPr>
          <w:rFonts w:ascii="Garamond" w:eastAsia="Times New Roman" w:hAnsi="Garamond"/>
        </w:rPr>
      </w:pPr>
    </w:p>
    <w:p w14:paraId="0AF1D34B" w14:textId="77777777" w:rsidR="001C4F07" w:rsidRDefault="001C4F07" w:rsidP="001C4F07">
      <w:pPr>
        <w:rPr>
          <w:rFonts w:ascii="Garamond" w:eastAsia="Times New Roman" w:hAnsi="Garamond"/>
        </w:rPr>
      </w:pPr>
    </w:p>
    <w:p w14:paraId="0B082C99" w14:textId="77777777" w:rsidR="001C4F07" w:rsidRPr="001C4F07" w:rsidRDefault="001C4F07" w:rsidP="001C4F07">
      <w:pPr>
        <w:rPr>
          <w:rFonts w:ascii="Garamond" w:eastAsia="Times New Roman" w:hAnsi="Garamond"/>
        </w:rPr>
      </w:pPr>
    </w:p>
    <w:p w14:paraId="13A419F7" w14:textId="77777777" w:rsidR="001C4F07" w:rsidRPr="001C4F07" w:rsidRDefault="001C4F07" w:rsidP="001C4F07">
      <w:pPr>
        <w:rPr>
          <w:rFonts w:ascii="Garamond" w:eastAsia="Times New Roman" w:hAnsi="Garamond"/>
        </w:rPr>
      </w:pPr>
    </w:p>
    <w:p w14:paraId="77F90699" w14:textId="7C5F95E2" w:rsidR="001C4F07" w:rsidRPr="001C4F07" w:rsidRDefault="001C4F07" w:rsidP="001C4F07">
      <w:pPr>
        <w:rPr>
          <w:rFonts w:ascii="Garamond" w:eastAsia="Times New Roman" w:hAnsi="Garamond"/>
          <w:sz w:val="36"/>
          <w:szCs w:val="36"/>
        </w:rPr>
      </w:pPr>
      <w:r w:rsidRPr="001C4F07">
        <w:rPr>
          <w:rFonts w:ascii="Garamond" w:eastAsia="Times New Roman" w:hAnsi="Garamond"/>
          <w:sz w:val="36"/>
          <w:szCs w:val="36"/>
        </w:rPr>
        <w:t>Dieses Werk trägt den Ursprung in sich.</w:t>
      </w:r>
    </w:p>
    <w:p w14:paraId="072E887A" w14:textId="77777777" w:rsidR="001C4F07" w:rsidRDefault="001C4F07" w:rsidP="001C4F07">
      <w:pPr>
        <w:rPr>
          <w:rFonts w:ascii="Garamond" w:eastAsia="Times New Roman" w:hAnsi="Garamond"/>
          <w:sz w:val="36"/>
          <w:szCs w:val="36"/>
        </w:rPr>
      </w:pPr>
      <w:r w:rsidRPr="001C4F07">
        <w:rPr>
          <w:rFonts w:ascii="Garamond" w:eastAsia="Times New Roman" w:hAnsi="Garamond"/>
          <w:sz w:val="36"/>
          <w:szCs w:val="36"/>
        </w:rPr>
        <w:t>Spuren der Erde erinnert an das, was unter unseren Fü</w:t>
      </w:r>
      <w:r>
        <w:rPr>
          <w:rFonts w:ascii="Garamond" w:eastAsia="Times New Roman" w:hAnsi="Garamond"/>
          <w:sz w:val="36"/>
          <w:szCs w:val="36"/>
        </w:rPr>
        <w:t>ss</w:t>
      </w:r>
      <w:r w:rsidRPr="001C4F07">
        <w:rPr>
          <w:rFonts w:ascii="Garamond" w:eastAsia="Times New Roman" w:hAnsi="Garamond"/>
          <w:sz w:val="36"/>
          <w:szCs w:val="36"/>
        </w:rPr>
        <w:t xml:space="preserve">en liegt – sichtbar, spürbar, gewachsen. </w:t>
      </w:r>
    </w:p>
    <w:p w14:paraId="0412811F" w14:textId="77777777" w:rsidR="001C4F07" w:rsidRDefault="001C4F07" w:rsidP="001C4F07">
      <w:pPr>
        <w:rPr>
          <w:rFonts w:ascii="Garamond" w:eastAsia="Times New Roman" w:hAnsi="Garamond"/>
          <w:sz w:val="36"/>
          <w:szCs w:val="36"/>
        </w:rPr>
      </w:pPr>
    </w:p>
    <w:p w14:paraId="277F0502" w14:textId="1F366020" w:rsidR="001C4F07" w:rsidRPr="001C4F07" w:rsidRDefault="001C4F07" w:rsidP="001C4F07">
      <w:pPr>
        <w:rPr>
          <w:rFonts w:ascii="Garamond" w:eastAsia="Times New Roman" w:hAnsi="Garamond"/>
          <w:sz w:val="36"/>
          <w:szCs w:val="36"/>
        </w:rPr>
      </w:pPr>
      <w:r w:rsidRPr="001C4F07">
        <w:rPr>
          <w:rFonts w:ascii="Garamond" w:eastAsia="Times New Roman" w:hAnsi="Garamond"/>
          <w:sz w:val="36"/>
          <w:szCs w:val="36"/>
        </w:rPr>
        <w:t>Jede Schicht erzählt von dem, was war, und von dem, was sich neu zeigt.</w:t>
      </w:r>
    </w:p>
    <w:p w14:paraId="4EEFE715" w14:textId="77777777" w:rsidR="001C4F07" w:rsidRPr="001C4F07" w:rsidRDefault="001C4F07" w:rsidP="001C4F07">
      <w:pPr>
        <w:rPr>
          <w:rFonts w:ascii="Garamond" w:eastAsia="Times New Roman" w:hAnsi="Garamond"/>
          <w:sz w:val="36"/>
          <w:szCs w:val="36"/>
        </w:rPr>
      </w:pPr>
    </w:p>
    <w:p w14:paraId="6480E3CC" w14:textId="77777777" w:rsidR="001C4F07" w:rsidRPr="001C4F07" w:rsidRDefault="001C4F07" w:rsidP="001C4F07">
      <w:pPr>
        <w:rPr>
          <w:rFonts w:ascii="Garamond" w:eastAsia="Times New Roman" w:hAnsi="Garamond"/>
          <w:sz w:val="36"/>
          <w:szCs w:val="36"/>
        </w:rPr>
      </w:pPr>
      <w:r w:rsidRPr="001C4F07">
        <w:rPr>
          <w:rFonts w:ascii="Garamond" w:eastAsia="Times New Roman" w:hAnsi="Garamond"/>
          <w:sz w:val="36"/>
          <w:szCs w:val="36"/>
        </w:rPr>
        <w:t>Es ist ein stilles Zeugnis innerer Bewegung, eine Verbindung zwischen Raum, Natur und Gefühl.</w:t>
      </w:r>
    </w:p>
    <w:p w14:paraId="1FBD34A7" w14:textId="77777777" w:rsidR="001C4F07" w:rsidRDefault="001C4F07" w:rsidP="001C4F07">
      <w:pPr>
        <w:rPr>
          <w:rFonts w:ascii="Garamond" w:eastAsia="Times New Roman" w:hAnsi="Garamond"/>
          <w:sz w:val="36"/>
          <w:szCs w:val="36"/>
        </w:rPr>
      </w:pPr>
    </w:p>
    <w:p w14:paraId="3FAFFAC7" w14:textId="54F03F67" w:rsidR="001C4F07" w:rsidRPr="001C4F07" w:rsidRDefault="001C4F07" w:rsidP="001C4F07">
      <w:pPr>
        <w:rPr>
          <w:rFonts w:ascii="Garamond" w:eastAsia="Times New Roman" w:hAnsi="Garamond"/>
          <w:sz w:val="36"/>
          <w:szCs w:val="36"/>
        </w:rPr>
      </w:pPr>
      <w:r w:rsidRPr="001C4F07">
        <w:rPr>
          <w:rFonts w:ascii="Garamond" w:eastAsia="Times New Roman" w:hAnsi="Garamond"/>
          <w:sz w:val="36"/>
          <w:szCs w:val="36"/>
        </w:rPr>
        <w:t>Ein Werk, das ruht – und zugleich weitergeht.</w:t>
      </w:r>
    </w:p>
    <w:p w14:paraId="4CA91DB9" w14:textId="77777777" w:rsidR="003571C1" w:rsidRPr="001C4F07" w:rsidRDefault="003571C1">
      <w:pPr>
        <w:rPr>
          <w:rFonts w:ascii="Garamond" w:hAnsi="Garamond"/>
        </w:rPr>
      </w:pPr>
    </w:p>
    <w:sectPr w:rsidR="003571C1" w:rsidRPr="001C4F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07"/>
    <w:rsid w:val="001C4F07"/>
    <w:rsid w:val="003571C1"/>
    <w:rsid w:val="005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BD129"/>
  <w15:chartTrackingRefBased/>
  <w15:docId w15:val="{CA0FA9A1-495C-4681-828E-2FA063EC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4F07"/>
    <w:pPr>
      <w:spacing w:after="0" w:line="240" w:lineRule="auto"/>
    </w:pPr>
    <w:rPr>
      <w:rFonts w:ascii="Aptos" w:hAnsi="Aptos" w:cs="Aptos"/>
      <w:kern w:val="0"/>
      <w:sz w:val="24"/>
      <w:szCs w:val="24"/>
      <w:lang w:eastAsia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4F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4F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4F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4F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4F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4F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4F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4F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4F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4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4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4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4F0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4F0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4F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4F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4F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4F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4F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C4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4F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4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4F0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C4F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4F0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C4F0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4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4F0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4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338</Characters>
  <Application>Microsoft Office Word</Application>
  <DocSecurity>0</DocSecurity>
  <Lines>2</Lines>
  <Paragraphs>1</Paragraphs>
  <ScaleCrop>false</ScaleCrop>
  <Company>SABAG GROUP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dcterms:created xsi:type="dcterms:W3CDTF">2025-04-15T14:15:00Z</dcterms:created>
  <dcterms:modified xsi:type="dcterms:W3CDTF">2025-04-15T14:18:00Z</dcterms:modified>
</cp:coreProperties>
</file>