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00E7" w14:textId="77777777" w:rsidR="0049552A" w:rsidRDefault="0049552A" w:rsidP="0049552A">
      <w:pPr>
        <w:rPr>
          <w:b/>
          <w:bCs/>
          <w:sz w:val="44"/>
          <w:szCs w:val="44"/>
        </w:rPr>
      </w:pPr>
    </w:p>
    <w:p w14:paraId="5F96F6BE" w14:textId="77777777" w:rsidR="0049552A" w:rsidRDefault="0049552A" w:rsidP="0049552A">
      <w:pPr>
        <w:rPr>
          <w:b/>
          <w:bCs/>
          <w:sz w:val="44"/>
          <w:szCs w:val="44"/>
        </w:rPr>
      </w:pPr>
    </w:p>
    <w:p w14:paraId="6D41DD11" w14:textId="3D84B117" w:rsidR="0049552A" w:rsidRPr="0049552A" w:rsidRDefault="0049552A" w:rsidP="0049552A">
      <w:pPr>
        <w:rPr>
          <w:rFonts w:ascii="Garamond" w:hAnsi="Garamond"/>
          <w:b/>
          <w:bCs/>
          <w:sz w:val="44"/>
          <w:szCs w:val="44"/>
        </w:rPr>
      </w:pPr>
      <w:r w:rsidRPr="0049552A">
        <w:rPr>
          <w:rFonts w:ascii="Garamond" w:hAnsi="Garamond"/>
          <w:b/>
          <w:bCs/>
          <w:sz w:val="44"/>
          <w:szCs w:val="44"/>
        </w:rPr>
        <w:t>«</w:t>
      </w:r>
      <w:r w:rsidRPr="0049552A">
        <w:rPr>
          <w:rFonts w:ascii="Garamond" w:hAnsi="Garamond"/>
          <w:b/>
          <w:bCs/>
          <w:sz w:val="44"/>
          <w:szCs w:val="44"/>
        </w:rPr>
        <w:t>Grenzschicht der Erinnerung</w:t>
      </w:r>
      <w:r w:rsidRPr="0049552A">
        <w:rPr>
          <w:rFonts w:ascii="Garamond" w:hAnsi="Garamond"/>
          <w:b/>
          <w:bCs/>
          <w:sz w:val="44"/>
          <w:szCs w:val="44"/>
        </w:rPr>
        <w:t>»</w:t>
      </w:r>
    </w:p>
    <w:p w14:paraId="066C49D3" w14:textId="77777777" w:rsidR="0049552A" w:rsidRPr="0049552A" w:rsidRDefault="0049552A" w:rsidP="0049552A">
      <w:pPr>
        <w:rPr>
          <w:rFonts w:ascii="Garamond" w:hAnsi="Garamond"/>
          <w:b/>
          <w:bCs/>
        </w:rPr>
      </w:pPr>
    </w:p>
    <w:p w14:paraId="02F6F684" w14:textId="77777777" w:rsidR="0049552A" w:rsidRDefault="0049552A" w:rsidP="0049552A">
      <w:pPr>
        <w:rPr>
          <w:rFonts w:ascii="Garamond" w:hAnsi="Garamond"/>
          <w:b/>
          <w:bCs/>
        </w:rPr>
      </w:pPr>
    </w:p>
    <w:p w14:paraId="481291CC" w14:textId="77777777" w:rsidR="0049552A" w:rsidRDefault="0049552A" w:rsidP="0049552A">
      <w:pPr>
        <w:rPr>
          <w:rFonts w:ascii="Garamond" w:hAnsi="Garamond"/>
          <w:b/>
          <w:bCs/>
        </w:rPr>
      </w:pPr>
    </w:p>
    <w:p w14:paraId="659F7DC7" w14:textId="77777777" w:rsidR="0049552A" w:rsidRDefault="0049552A" w:rsidP="0049552A">
      <w:pPr>
        <w:rPr>
          <w:rFonts w:ascii="Garamond" w:hAnsi="Garamond"/>
          <w:b/>
          <w:bCs/>
        </w:rPr>
      </w:pPr>
    </w:p>
    <w:p w14:paraId="1C7CC0F0" w14:textId="77777777" w:rsidR="0049552A" w:rsidRDefault="0049552A" w:rsidP="0049552A">
      <w:pPr>
        <w:rPr>
          <w:rFonts w:ascii="Garamond" w:hAnsi="Garamond"/>
          <w:b/>
          <w:bCs/>
        </w:rPr>
      </w:pPr>
    </w:p>
    <w:p w14:paraId="7043A514" w14:textId="77777777" w:rsidR="0049552A" w:rsidRDefault="0049552A" w:rsidP="0049552A">
      <w:pPr>
        <w:rPr>
          <w:rFonts w:ascii="Garamond" w:hAnsi="Garamond"/>
          <w:b/>
          <w:bCs/>
        </w:rPr>
      </w:pPr>
    </w:p>
    <w:p w14:paraId="7DB39FFF" w14:textId="77777777" w:rsidR="0049552A" w:rsidRPr="0049552A" w:rsidRDefault="0049552A" w:rsidP="0049552A">
      <w:pPr>
        <w:rPr>
          <w:rFonts w:ascii="Garamond" w:hAnsi="Garamond"/>
          <w:b/>
          <w:bCs/>
        </w:rPr>
      </w:pPr>
    </w:p>
    <w:p w14:paraId="4000DAD2" w14:textId="41076F9C" w:rsidR="0049552A" w:rsidRPr="0049552A" w:rsidRDefault="0049552A" w:rsidP="0049552A">
      <w:pPr>
        <w:rPr>
          <w:rFonts w:ascii="Garamond" w:hAnsi="Garamond"/>
          <w:sz w:val="36"/>
          <w:szCs w:val="36"/>
        </w:rPr>
      </w:pPr>
      <w:r w:rsidRPr="0049552A">
        <w:rPr>
          <w:rFonts w:ascii="Garamond" w:hAnsi="Garamond"/>
          <w:b/>
          <w:bCs/>
          <w:sz w:val="36"/>
          <w:szCs w:val="36"/>
        </w:rPr>
        <w:t>«</w:t>
      </w:r>
      <w:r w:rsidRPr="0049552A">
        <w:rPr>
          <w:rFonts w:ascii="Garamond" w:hAnsi="Garamond"/>
          <w:b/>
          <w:bCs/>
          <w:sz w:val="36"/>
          <w:szCs w:val="36"/>
        </w:rPr>
        <w:t>Grenzschicht der Erinnerung</w:t>
      </w:r>
      <w:r w:rsidRPr="0049552A">
        <w:rPr>
          <w:rFonts w:ascii="Garamond" w:hAnsi="Garamond"/>
          <w:i/>
          <w:iCs/>
          <w:sz w:val="36"/>
          <w:szCs w:val="36"/>
        </w:rPr>
        <w:t>»</w:t>
      </w:r>
      <w:r w:rsidRPr="0049552A">
        <w:rPr>
          <w:rFonts w:ascii="Garamond" w:hAnsi="Garamond"/>
          <w:sz w:val="36"/>
          <w:szCs w:val="36"/>
        </w:rPr>
        <w:t xml:space="preserve"> erzählt von einem Moment zwischen den Ebenen –</w:t>
      </w:r>
    </w:p>
    <w:p w14:paraId="7BD78613" w14:textId="77777777" w:rsidR="0049552A" w:rsidRPr="0049552A" w:rsidRDefault="0049552A" w:rsidP="0049552A">
      <w:pPr>
        <w:rPr>
          <w:rFonts w:ascii="Garamond" w:hAnsi="Garamond"/>
          <w:sz w:val="36"/>
          <w:szCs w:val="36"/>
        </w:rPr>
      </w:pPr>
      <w:r w:rsidRPr="0049552A">
        <w:rPr>
          <w:rFonts w:ascii="Garamond" w:hAnsi="Garamond"/>
          <w:sz w:val="36"/>
          <w:szCs w:val="36"/>
        </w:rPr>
        <w:t>zwischen Sichtbarem und Verborgenem, zwischen dem, was war, und dem, was weiterwirkt.</w:t>
      </w:r>
    </w:p>
    <w:p w14:paraId="32F6E00D" w14:textId="77777777" w:rsidR="0049552A" w:rsidRPr="0049552A" w:rsidRDefault="0049552A" w:rsidP="0049552A">
      <w:pPr>
        <w:rPr>
          <w:rFonts w:ascii="Garamond" w:hAnsi="Garamond"/>
          <w:sz w:val="36"/>
          <w:szCs w:val="36"/>
        </w:rPr>
      </w:pPr>
    </w:p>
    <w:p w14:paraId="163F744D" w14:textId="5551820C" w:rsidR="0049552A" w:rsidRPr="0049552A" w:rsidRDefault="0049552A" w:rsidP="0049552A">
      <w:pPr>
        <w:rPr>
          <w:rFonts w:ascii="Garamond" w:hAnsi="Garamond"/>
          <w:sz w:val="36"/>
          <w:szCs w:val="36"/>
        </w:rPr>
      </w:pPr>
      <w:r w:rsidRPr="0049552A">
        <w:rPr>
          <w:rFonts w:ascii="Garamond" w:hAnsi="Garamond"/>
          <w:sz w:val="36"/>
          <w:szCs w:val="36"/>
        </w:rPr>
        <w:t>Der unterbrochene Horizont öffnet Raum für das Unausgesprochene.</w:t>
      </w:r>
    </w:p>
    <w:p w14:paraId="05B06824" w14:textId="77777777" w:rsidR="0049552A" w:rsidRPr="0049552A" w:rsidRDefault="0049552A" w:rsidP="0049552A">
      <w:pPr>
        <w:rPr>
          <w:rFonts w:ascii="Garamond" w:hAnsi="Garamond"/>
          <w:sz w:val="36"/>
          <w:szCs w:val="36"/>
        </w:rPr>
      </w:pPr>
    </w:p>
    <w:p w14:paraId="1B5D68F2" w14:textId="43FE1675" w:rsidR="0049552A" w:rsidRPr="0049552A" w:rsidRDefault="0049552A" w:rsidP="0049552A">
      <w:pPr>
        <w:rPr>
          <w:rFonts w:ascii="Garamond" w:hAnsi="Garamond"/>
          <w:sz w:val="36"/>
          <w:szCs w:val="36"/>
        </w:rPr>
      </w:pPr>
      <w:r w:rsidRPr="0049552A">
        <w:rPr>
          <w:rFonts w:ascii="Garamond" w:hAnsi="Garamond"/>
          <w:sz w:val="36"/>
          <w:szCs w:val="36"/>
        </w:rPr>
        <w:t>Die intensive Struktur wirkt wie gelebtes Gefühl – tastbar, aufgeladen, echt.</w:t>
      </w:r>
    </w:p>
    <w:p w14:paraId="6AB42E98" w14:textId="77777777" w:rsidR="0049552A" w:rsidRPr="0049552A" w:rsidRDefault="0049552A" w:rsidP="0049552A">
      <w:pPr>
        <w:rPr>
          <w:rFonts w:ascii="Garamond" w:hAnsi="Garamond"/>
          <w:sz w:val="36"/>
          <w:szCs w:val="36"/>
        </w:rPr>
      </w:pPr>
    </w:p>
    <w:p w14:paraId="7D10FF3A" w14:textId="6F0DF857" w:rsidR="003571C1" w:rsidRPr="0049552A" w:rsidRDefault="0049552A">
      <w:pPr>
        <w:rPr>
          <w:rFonts w:ascii="Garamond" w:hAnsi="Garamond"/>
          <w:sz w:val="36"/>
          <w:szCs w:val="36"/>
        </w:rPr>
      </w:pPr>
      <w:r w:rsidRPr="0049552A">
        <w:rPr>
          <w:rFonts w:ascii="Garamond" w:hAnsi="Garamond"/>
          <w:sz w:val="36"/>
          <w:szCs w:val="36"/>
        </w:rPr>
        <w:t>Ein Werk, das nicht erklärt, sondern erinnert.</w:t>
      </w:r>
    </w:p>
    <w:sectPr w:rsidR="003571C1" w:rsidRPr="004955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2A"/>
    <w:rsid w:val="003571C1"/>
    <w:rsid w:val="0049552A"/>
    <w:rsid w:val="009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E6F95"/>
  <w15:chartTrackingRefBased/>
  <w15:docId w15:val="{41960742-7D95-4C66-B0FD-B87004D4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5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5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5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5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5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5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52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52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52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52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52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5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5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5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5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5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5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552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55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55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5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552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5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Company>SABAG GROUP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2025-05-02T13:48:00Z</cp:lastPrinted>
  <dcterms:created xsi:type="dcterms:W3CDTF">2025-05-02T13:46:00Z</dcterms:created>
  <dcterms:modified xsi:type="dcterms:W3CDTF">2025-05-02T13:49:00Z</dcterms:modified>
</cp:coreProperties>
</file>